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"/>
        <w:tblW w:w="918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32"/>
      </w:tblGrid>
      <w:tr w:rsidR="003F3464" w:rsidRPr="00D87D7C" w:rsidTr="003F3464">
        <w:trPr>
          <w:trHeight w:val="1196"/>
        </w:trPr>
        <w:tc>
          <w:tcPr>
            <w:tcW w:w="3348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64" w:rsidRPr="003F3464" w:rsidRDefault="003F3464" w:rsidP="003F346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3464">
              <w:rPr>
                <w:b/>
                <w:color w:val="000000" w:themeColor="text1"/>
                <w:sz w:val="26"/>
                <w:szCs w:val="26"/>
              </w:rPr>
              <w:t>CHÍNH PHỦ</w:t>
            </w:r>
          </w:p>
          <w:p w:rsidR="003F3464" w:rsidRPr="003F3464" w:rsidRDefault="003F3464" w:rsidP="003F346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3464">
              <w:rPr>
                <w:b/>
                <w:color w:val="000000" w:themeColor="text1"/>
                <w:sz w:val="26"/>
                <w:szCs w:val="26"/>
                <w:vertAlign w:val="superscript"/>
              </w:rPr>
              <w:t>_________</w:t>
            </w:r>
            <w:r w:rsidRPr="003F3464">
              <w:rPr>
                <w:b/>
                <w:color w:val="000000" w:themeColor="text1"/>
                <w:sz w:val="26"/>
                <w:szCs w:val="26"/>
              </w:rPr>
              <w:br/>
            </w:r>
          </w:p>
          <w:p w:rsidR="003F3464" w:rsidRPr="00D87D7C" w:rsidRDefault="003F3464" w:rsidP="003F3464">
            <w:pPr>
              <w:jc w:val="center"/>
              <w:rPr>
                <w:color w:val="000000" w:themeColor="text1"/>
              </w:rPr>
            </w:pPr>
            <w:r w:rsidRPr="003F3464">
              <w:rPr>
                <w:color w:val="000000" w:themeColor="text1"/>
                <w:sz w:val="26"/>
                <w:szCs w:val="26"/>
              </w:rPr>
              <w:t xml:space="preserve">Số:  </w:t>
            </w:r>
            <w:r w:rsidR="00BE7071">
              <w:rPr>
                <w:color w:val="000000" w:themeColor="text1"/>
                <w:sz w:val="26"/>
                <w:szCs w:val="26"/>
              </w:rPr>
              <w:t>304</w:t>
            </w:r>
            <w:r w:rsidRPr="003F3464">
              <w:rPr>
                <w:color w:val="000000" w:themeColor="text1"/>
                <w:sz w:val="26"/>
                <w:szCs w:val="26"/>
              </w:rPr>
              <w:t>/2025/NĐ-CP</w:t>
            </w:r>
          </w:p>
        </w:tc>
        <w:tc>
          <w:tcPr>
            <w:tcW w:w="583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64" w:rsidRPr="003F3464" w:rsidRDefault="003F3464" w:rsidP="003F3464">
            <w:pPr>
              <w:jc w:val="center"/>
              <w:rPr>
                <w:color w:val="000000" w:themeColor="text1"/>
                <w:vertAlign w:val="superscript"/>
              </w:rPr>
            </w:pPr>
            <w:r w:rsidRPr="003F3464">
              <w:rPr>
                <w:b/>
                <w:color w:val="000000" w:themeColor="text1"/>
                <w:sz w:val="26"/>
              </w:rPr>
              <w:t>CỘNG HÒA XÃ HỘI CHỦ NGHĨA VIỆT NAM</w:t>
            </w:r>
            <w:r w:rsidRPr="00D87D7C">
              <w:rPr>
                <w:b/>
                <w:color w:val="000000" w:themeColor="text1"/>
              </w:rPr>
              <w:br/>
            </w:r>
            <w:r w:rsidRPr="00D87D7C">
              <w:rPr>
                <w:b/>
                <w:color w:val="000000" w:themeColor="text1"/>
                <w:sz w:val="28"/>
                <w:szCs w:val="28"/>
              </w:rPr>
              <w:t>Độc lập - Tự do - Hạnh phúc</w:t>
            </w:r>
            <w:r w:rsidRPr="00D87D7C">
              <w:rPr>
                <w:b/>
                <w:color w:val="000000" w:themeColor="text1"/>
              </w:rPr>
              <w:t xml:space="preserve"> </w:t>
            </w:r>
            <w:r w:rsidRPr="00D87D7C">
              <w:rPr>
                <w:b/>
                <w:color w:val="000000" w:themeColor="text1"/>
              </w:rPr>
              <w:br/>
            </w:r>
            <w:r>
              <w:rPr>
                <w:color w:val="000000" w:themeColor="text1"/>
                <w:vertAlign w:val="superscript"/>
              </w:rPr>
              <w:t>__________________________________________</w:t>
            </w:r>
          </w:p>
          <w:p w:rsidR="003F3464" w:rsidRPr="003F3464" w:rsidRDefault="003F3464" w:rsidP="003F3464">
            <w:pPr>
              <w:jc w:val="center"/>
              <w:rPr>
                <w:color w:val="000000" w:themeColor="text1"/>
                <w:vertAlign w:val="superscript"/>
              </w:rPr>
            </w:pPr>
            <w:r w:rsidRPr="00D87D7C">
              <w:rPr>
                <w:i/>
                <w:color w:val="000000" w:themeColor="text1"/>
                <w:sz w:val="28"/>
                <w:szCs w:val="28"/>
              </w:rPr>
              <w:t xml:space="preserve">Hà Nội, ngày </w:t>
            </w:r>
            <w:r w:rsidR="00BE7071">
              <w:rPr>
                <w:i/>
                <w:color w:val="000000" w:themeColor="text1"/>
                <w:sz w:val="28"/>
                <w:szCs w:val="28"/>
              </w:rPr>
              <w:t>2</w:t>
            </w:r>
            <w:bookmarkStart w:id="0" w:name="_GoBack"/>
            <w:bookmarkEnd w:id="0"/>
            <w:r w:rsidR="00BE7071">
              <w:rPr>
                <w:i/>
                <w:color w:val="000000" w:themeColor="text1"/>
                <w:sz w:val="28"/>
                <w:szCs w:val="28"/>
              </w:rPr>
              <w:t>5</w:t>
            </w:r>
            <w:r w:rsidRPr="00D87D7C">
              <w:rPr>
                <w:i/>
                <w:color w:val="000000" w:themeColor="text1"/>
                <w:sz w:val="28"/>
                <w:szCs w:val="28"/>
              </w:rPr>
              <w:t xml:space="preserve"> tháng 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11 </w:t>
            </w:r>
            <w:r w:rsidRPr="00D87D7C">
              <w:rPr>
                <w:i/>
                <w:color w:val="000000" w:themeColor="text1"/>
                <w:sz w:val="28"/>
                <w:szCs w:val="28"/>
              </w:rPr>
              <w:t>năm 2025</w:t>
            </w:r>
          </w:p>
        </w:tc>
      </w:tr>
    </w:tbl>
    <w:p w:rsidR="00853E79" w:rsidRPr="00D87D7C" w:rsidRDefault="00853E79" w:rsidP="00853E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"/>
        </w:rPr>
      </w:pPr>
      <w:r w:rsidRPr="00D87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  <w:t> </w:t>
      </w:r>
    </w:p>
    <w:p w:rsidR="00FB5E69" w:rsidRPr="00D87D7C" w:rsidRDefault="00FB5E69" w:rsidP="0085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</w:pPr>
    </w:p>
    <w:p w:rsidR="00853E79" w:rsidRPr="00D87D7C" w:rsidRDefault="00853E79" w:rsidP="00853E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</w:pPr>
      <w:r w:rsidRPr="00D87D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  <w:t>NGHỊ ĐỊNH</w:t>
      </w:r>
    </w:p>
    <w:p w:rsidR="00853E79" w:rsidRDefault="00853E79" w:rsidP="0085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</w:pPr>
      <w:r w:rsidRPr="00D87D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  <w:t>Quy định điều kiện tài sản bảo đảm của khoản nợ xấu được thu giữ</w:t>
      </w:r>
    </w:p>
    <w:p w:rsidR="003F3464" w:rsidRPr="003F3464" w:rsidRDefault="003F3464" w:rsidP="00853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8"/>
          <w:szCs w:val="28"/>
          <w:lang w:val="en"/>
        </w:rPr>
      </w:pPr>
    </w:p>
    <w:p w:rsidR="00853E79" w:rsidRPr="003F3464" w:rsidRDefault="00853E79" w:rsidP="00853E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24"/>
          <w:lang w:val="en"/>
        </w:rPr>
      </w:pPr>
    </w:p>
    <w:p w:rsidR="00853E79" w:rsidRPr="00D87D7C" w:rsidRDefault="00853E79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"/>
        </w:rPr>
      </w:pPr>
      <w:r w:rsidRPr="00D87D7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"/>
        </w:rPr>
        <w:t>Căn cứ Luật Tổ chức Chính phủ số 63/2025/QH15;</w:t>
      </w:r>
    </w:p>
    <w:p w:rsidR="00853E79" w:rsidRPr="00D87D7C" w:rsidRDefault="00853E79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"/>
        </w:rPr>
      </w:pPr>
      <w:r w:rsidRPr="00D87D7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"/>
        </w:rPr>
        <w:t>Căn cứ Luật Các tổ chức tín dụng số 32/2024/QH15 được sửa đổi, bổ sung bởi Luật số 96/2025/QH15;</w:t>
      </w:r>
    </w:p>
    <w:p w:rsidR="00853E79" w:rsidRPr="00D87D7C" w:rsidRDefault="00853E79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</w:pPr>
      <w:r w:rsidRPr="00D87D7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"/>
        </w:rPr>
        <w:t>Theo đề nghị của Thống đốc Ngân hàng Nhà nước Việt Nam;</w:t>
      </w:r>
    </w:p>
    <w:p w:rsidR="00853E79" w:rsidRPr="00D87D7C" w:rsidRDefault="00853E79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  <w:r w:rsidRPr="00D87D7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"/>
        </w:rPr>
        <w:t>Chính phủ ban hành Nghị định quy định điều kiện tài sản bảo đảm của khoản nợ xấu được thu giữ.</w:t>
      </w:r>
    </w:p>
    <w:p w:rsidR="00853E79" w:rsidRPr="003F3464" w:rsidRDefault="00853E79" w:rsidP="0087253E">
      <w:pPr>
        <w:spacing w:before="120" w:after="120" w:line="269" w:lineRule="auto"/>
        <w:rPr>
          <w:rFonts w:ascii="Times New Roman" w:eastAsia="Times New Roman" w:hAnsi="Times New Roman" w:cs="Times New Roman"/>
          <w:color w:val="000000" w:themeColor="text1"/>
          <w:sz w:val="16"/>
          <w:szCs w:val="28"/>
          <w:lang w:val="en"/>
        </w:rPr>
      </w:pPr>
    </w:p>
    <w:p w:rsidR="00853E79" w:rsidRPr="00D87D7C" w:rsidRDefault="00853E79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</w:pPr>
      <w:r w:rsidRPr="00D87D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  <w:t xml:space="preserve">Điều 1. Phạm vi điều chỉnh </w:t>
      </w:r>
    </w:p>
    <w:p w:rsidR="00853E79" w:rsidRPr="00D87D7C" w:rsidRDefault="00C155F5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C15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Nghị định này quy định điều kiện tài sản bảo đảm của khoản nợ xấu được thu giữ </w:t>
      </w:r>
      <w:r w:rsidRPr="00EA6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theo điểm đ khoản 2 Điều 198a Luật Các tổ chức tín dụng số 32/2024/QH15 được sửa đổi, bổ sung bởi Luật số 96/2025/QH15</w:t>
      </w:r>
      <w:r w:rsidR="00853E79" w:rsidRPr="00EA6B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  <w:t>.</w:t>
      </w:r>
    </w:p>
    <w:p w:rsidR="00853E79" w:rsidRPr="00D87D7C" w:rsidRDefault="00853E79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</w:pPr>
      <w:r w:rsidRPr="00D87D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  <w:t>Điều 2. Đối tượng áp dụng</w:t>
      </w:r>
    </w:p>
    <w:p w:rsidR="00853E79" w:rsidRPr="00D87D7C" w:rsidRDefault="00853E79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</w:pPr>
      <w:r w:rsidRPr="00D87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1.</w:t>
      </w:r>
      <w:r w:rsidRPr="00D87D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  <w:t xml:space="preserve"> </w:t>
      </w:r>
      <w:r w:rsidRPr="00D87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Tổ chức tín dụng.</w:t>
      </w:r>
    </w:p>
    <w:p w:rsidR="00853E79" w:rsidRPr="00D87D7C" w:rsidRDefault="00853E79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</w:pPr>
      <w:r w:rsidRPr="00D87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2. Chi nhánh ngân hàng nước ngoài.</w:t>
      </w:r>
    </w:p>
    <w:p w:rsidR="00853E79" w:rsidRPr="00D87D7C" w:rsidRDefault="00853E79" w:rsidP="003F3464">
      <w:pPr>
        <w:spacing w:before="240"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sz w:val="18"/>
          <w:szCs w:val="18"/>
          <w:lang w:val="en"/>
        </w:rPr>
      </w:pPr>
      <w:r w:rsidRPr="00D87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3. Tổ chức mà Nhà nước sở hữu 100% vốn điều lệ có chức năng mua, bán, xử lý nợ (sau đây gọi là tổ chức mua bán, xử lý nợ).</w:t>
      </w:r>
    </w:p>
    <w:p w:rsidR="00853E79" w:rsidRPr="00D87D7C" w:rsidRDefault="00853E79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</w:pPr>
      <w:r w:rsidRPr="00D87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4. Cơ quan, tổ chức, cá nhân có liên quan. </w:t>
      </w:r>
    </w:p>
    <w:p w:rsidR="00853E79" w:rsidRPr="00D87D7C" w:rsidRDefault="00853E79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</w:pPr>
      <w:r w:rsidRPr="00D87D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  <w:t>Điều 3. Giải thích từ ngữ</w:t>
      </w:r>
    </w:p>
    <w:p w:rsidR="00853E79" w:rsidRPr="00D87D7C" w:rsidRDefault="00853E79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</w:pPr>
      <w:r w:rsidRPr="00D87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Trong Nghị định này, các từ ngữ dưới đây được hiểu như sau:</w:t>
      </w:r>
    </w:p>
    <w:p w:rsidR="00C155F5" w:rsidRPr="001B223C" w:rsidRDefault="0087253E" w:rsidP="003F3464">
      <w:pPr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1. </w:t>
      </w:r>
      <w:r w:rsidR="001B223C" w:rsidRPr="003F3464">
        <w:rPr>
          <w:rFonts w:ascii="Times New Roman" w:eastAsia="Calibri" w:hAnsi="Times New Roman" w:cs="Times New Roman"/>
          <w:bCs/>
          <w:iCs/>
          <w:sz w:val="28"/>
          <w:szCs w:val="28"/>
        </w:rPr>
        <w:t>Chỗ ở duy nhất</w:t>
      </w:r>
      <w:r w:rsidR="001B223C" w:rsidRPr="001B223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là chỗ ở hợp pháp của bên bảo đảm là cá nhân và </w:t>
      </w:r>
      <w:r w:rsidR="00930B51">
        <w:rPr>
          <w:rFonts w:ascii="Times New Roman" w:eastAsia="Calibri" w:hAnsi="Times New Roman" w:cs="Times New Roman"/>
          <w:bCs/>
          <w:iCs/>
          <w:sz w:val="28"/>
          <w:szCs w:val="28"/>
        </w:rPr>
        <w:t>đáp ứng</w:t>
      </w:r>
      <w:r w:rsidR="001B223C" w:rsidRPr="001B223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các điều kiện sau:</w:t>
      </w:r>
    </w:p>
    <w:p w:rsidR="001B223C" w:rsidRPr="001B223C" w:rsidRDefault="001B223C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1B22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a) </w:t>
      </w:r>
      <w:r w:rsidRPr="00EA6B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Là tài sản</w:t>
      </w:r>
      <w:r w:rsidRPr="001B22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thuộc quyền sở hữu của bên bảo đảm;</w:t>
      </w:r>
    </w:p>
    <w:p w:rsidR="001B223C" w:rsidRPr="001B223C" w:rsidRDefault="001B223C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1B22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b) Là nơi bên bảo đảm đăng ký thường trú </w:t>
      </w:r>
      <w:r w:rsidRPr="00EA6B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hoặc </w:t>
      </w:r>
      <w:r w:rsidRPr="001B22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tạm trú;</w:t>
      </w:r>
    </w:p>
    <w:p w:rsidR="001B223C" w:rsidRDefault="001B223C" w:rsidP="003F3464">
      <w:pPr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1B22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c) Nếu bị thu giữ </w:t>
      </w:r>
      <w:r w:rsidRPr="00EA6B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tài sản bảo đảm là chỗ ở duy nhất,</w:t>
      </w:r>
      <w:r w:rsidRPr="001B22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bên bảo đảm không có chỗ ở khác.</w:t>
      </w:r>
    </w:p>
    <w:p w:rsidR="001B223C" w:rsidRPr="001B223C" w:rsidRDefault="0087253E" w:rsidP="003F3464">
      <w:pPr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2. </w:t>
      </w:r>
      <w:r w:rsidR="001B223C" w:rsidRPr="003F34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Công cụ lao động chủ yếu hoặc duy nhất</w:t>
      </w:r>
      <w:r w:rsidR="001B223C" w:rsidRPr="001B223C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 xml:space="preserve"> </w:t>
      </w:r>
      <w:r w:rsidR="001B223C" w:rsidRPr="001B22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là động sản được dùng làm phương tiện sinh sống chủ yếu hoặc duy nhất của bên bảo đảm là cá nhân và </w:t>
      </w:r>
      <w:r w:rsidR="00930B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đáp ứng</w:t>
      </w:r>
      <w:r w:rsidR="001B223C" w:rsidRPr="001B22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các điều kiện sau:</w:t>
      </w:r>
    </w:p>
    <w:p w:rsidR="001B223C" w:rsidRPr="001B223C" w:rsidRDefault="001B223C" w:rsidP="003F3464">
      <w:pPr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1B22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a) Tại thời điểm quy định tại khoản 1 Điều 5 Nghị định này, công cụ lao động có giá trị </w:t>
      </w:r>
      <w:r w:rsidRPr="00EA6B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không quá 24 tháng lương</w:t>
      </w:r>
      <w:r w:rsidRPr="001B22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tính theo mức lương tối thiểu quy định tại điểm b khoản 2 Điều này;</w:t>
      </w:r>
    </w:p>
    <w:p w:rsidR="001B223C" w:rsidRPr="001B223C" w:rsidRDefault="001B223C" w:rsidP="003F3464">
      <w:pPr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1B22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b) Nếu bị thu giữ </w:t>
      </w:r>
      <w:r w:rsidRPr="00EA6B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tài sản bảo đảm là công cụ lao động chủ yếu hoặc duy nhất,</w:t>
      </w:r>
      <w:r w:rsidRPr="001B22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bên bảo đảm không có đủ thu nhập tối thiểu bằng mức lương tối thiểu theo vùng nơi bên bảo đảm </w:t>
      </w:r>
      <w:r w:rsidRPr="00EA6B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đang thực tế</w:t>
      </w:r>
      <w:r w:rsidRPr="001B22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sinh sống theo quy định của Chính phủ về mức lương tối thiểu đối với người lao động l</w:t>
      </w:r>
      <w:r w:rsidR="00B5691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àm việc theo hợp đồng lao động</w:t>
      </w:r>
      <w:r w:rsidRPr="001B22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853E79" w:rsidRPr="00D87D7C" w:rsidRDefault="00853E79" w:rsidP="003F3464">
      <w:pPr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</w:pPr>
      <w:r w:rsidRPr="00D87D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  <w:t>Điều 4. Điều kiện tài sản bảo đảm của khoản nợ xấu được thu giữ</w:t>
      </w:r>
    </w:p>
    <w:p w:rsidR="00853E79" w:rsidRPr="00055EEC" w:rsidRDefault="00853E79" w:rsidP="003F3464">
      <w:pPr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1. Tài sản bảo đảm của khoản nợ xấu 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  <w:t>l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à chỗ ở duy nhất hoặc công cụ lao động chủ yếu hoặc duy nhất chỉ </w:t>
      </w: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được thu giữ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</w:t>
      </w: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khi đáp ứng các điều kiện quy định tại điểm a, b, c, d, e khoản 2 Điều 198a Luật số 32/2024/QH15 được sửa đổi, bổ sung bởi Luật số 96/2025/QH15 và một trong các điều kiện sau:</w:t>
      </w:r>
    </w:p>
    <w:p w:rsidR="00853E79" w:rsidRPr="00055EEC" w:rsidRDefault="00853E79" w:rsidP="003F3464">
      <w:pPr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a) 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  <w:t>Trường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hợp thu giữ chỗ ở duy nhất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đã được xác nhận và chứng minh theo quy định tại khoản 1 Điều 5 Nghị định này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, bên nhận bảo đảm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  <w:t xml:space="preserve">trích một khoản tiền cho bên bảo đảm bằng 12 tháng lương tính theo mức lương tối thiểu quy định tại khoản 2 Điều 3 Nghị định này; </w:t>
      </w:r>
    </w:p>
    <w:p w:rsidR="00853E79" w:rsidRPr="00055EEC" w:rsidRDefault="00853E79" w:rsidP="003F3464">
      <w:pPr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b) 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  <w:t>Trường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hợp thu giữ công cụ lao động chủ yếu hoặc duy nhất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không </w:t>
      </w:r>
      <w:r w:rsidRPr="00EE2F5A">
        <w:rPr>
          <w:rFonts w:ascii="Times New Roman" w:eastAsia="Times New Roman" w:hAnsi="Times New Roman" w:cs="Times New Roman"/>
          <w:bCs/>
          <w:iCs/>
          <w:color w:val="000000" w:themeColor="text1"/>
          <w:spacing w:val="-4"/>
          <w:sz w:val="28"/>
          <w:szCs w:val="28"/>
        </w:rPr>
        <w:t>hình thành từ vốn vay đã được xác nhận và chứng minh theo quy định tại khoản 1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Điều 5 Nghị định này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>, bên nhận bảo đảm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trích 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  <w:t>một khoản tiền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cho bên bảo đảm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  <w:t xml:space="preserve"> bằng 06 tháng lương tính theo mức lương tối thiểu quy định tại khoản 2 Điều 3 Nghị định này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853E79" w:rsidRPr="00055EEC" w:rsidRDefault="00853E79" w:rsidP="003F3464">
      <w:pPr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</w:pP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2. Tài sản bảo đảm của khoản nợ xấu không phải là tài sản quy định tại khoản 1 Điều này được thu giữ khi đáp ứng các điều kiện quy định tại điểm a, b, c, d, e khoản 2 Điều 198a Luật số 32/2024/QH1</w:t>
      </w:r>
      <w:r w:rsidR="00C73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5</w:t>
      </w: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 được sửa đổi, bổ sung bởi Luật số 96/2025/QH15.</w:t>
      </w:r>
    </w:p>
    <w:p w:rsidR="00853E79" w:rsidRPr="00D87D7C" w:rsidRDefault="00853E79" w:rsidP="003F3464">
      <w:pPr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</w:pPr>
      <w:r w:rsidRPr="00D87D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  <w:t xml:space="preserve">Điều 5. </w:t>
      </w:r>
      <w:r w:rsidR="00C155F5" w:rsidRPr="00EA6B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  <w:t>Quyền và</w:t>
      </w:r>
      <w:r w:rsidR="00C155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  <w:t xml:space="preserve"> </w:t>
      </w:r>
      <w:r w:rsidR="00C155F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"/>
        </w:rPr>
        <w:t>t</w:t>
      </w:r>
      <w:r w:rsidRPr="00D87D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  <w:t>rách nhiệm của bên bảo đảm</w:t>
      </w:r>
    </w:p>
    <w:p w:rsidR="00853E79" w:rsidRPr="00055EEC" w:rsidRDefault="00853E79" w:rsidP="003F3464">
      <w:pPr>
        <w:spacing w:before="18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</w:pP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1. </w:t>
      </w:r>
      <w:r w:rsidR="001B223C" w:rsidRPr="001B223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Tại hợp đồng bảo đảm hoặc tại văn bản khác, bên bảo đảm </w:t>
      </w:r>
      <w:r w:rsidR="001B223C" w:rsidRPr="00D2069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có cam kết</w:t>
      </w:r>
      <w:r w:rsidR="001B223C" w:rsidRPr="001B223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xác nhận và chứng minh tài sản bảo đảm thuộc hoặc không thuộc trường hợp quy định tại khoản 1 Điều 4 Nghị định này theo yêu cầu của bên nhận bảo đảm trong thời hạn 10 ngày làm việc kể từ ngày </w:t>
      </w:r>
      <w:r w:rsidR="001B223C" w:rsidRPr="00EA6B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nhận được yêu cầu của bên </w:t>
      </w:r>
      <w:r w:rsidR="00885499" w:rsidRPr="00EA6B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nhận </w:t>
      </w:r>
      <w:r w:rsidR="001B223C" w:rsidRPr="00EA6B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bảo đảm.</w:t>
      </w:r>
      <w:r w:rsidR="001B223C" w:rsidRPr="001B223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Phương thức gửi yêu cầu được thực hiện theo quy định tại điểm d khoản 3 hoặc điểm c khoản 4 Điều 198a Luật số 32/2024/QH15 được sửa đổi, bổ sung bởi Luật số 96/2025/QH15</w:t>
      </w:r>
      <w:r w:rsidR="001B223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853E79" w:rsidRPr="00055EEC" w:rsidRDefault="00853E79" w:rsidP="003F3464">
      <w:pPr>
        <w:spacing w:before="240" w:after="0" w:line="25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</w:pPr>
      <w:bookmarkStart w:id="1" w:name="_heading=h.35mi8l8jra1p" w:colFirst="0" w:colLast="0"/>
      <w:bookmarkEnd w:id="1"/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lastRenderedPageBreak/>
        <w:t xml:space="preserve">2. Trường hợp bên bảo đảm 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  <w:t>không thực hiện xác nhận và chứng minh theo quy định tại khoản 1 Điều này</w:t>
      </w: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, tài sản bảo đảm là </w:t>
      </w:r>
      <w:r w:rsidR="009A2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chỗ </w:t>
      </w: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ở, công cụ lao động được xác định không thuộc trường hợp quy định tại khoản 1 Điều 4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</w:t>
      </w: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Nghị định này.</w:t>
      </w:r>
    </w:p>
    <w:p w:rsidR="00853E79" w:rsidRPr="00055EEC" w:rsidRDefault="00853E79" w:rsidP="003F3464">
      <w:pPr>
        <w:spacing w:before="240" w:after="0" w:line="25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</w:pP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3.</w:t>
      </w:r>
      <w:r w:rsidR="00055EEC"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  <w:t>C</w:t>
      </w: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hịu trách nhiệm về </w:t>
      </w: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  <w:t xml:space="preserve">nội dung xác nhận và </w:t>
      </w: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tính đúng đắn, hợp pháp của các tài liệu chứng minh theo quy định tại khoản</w:t>
      </w:r>
      <w:r w:rsidR="00055EEC"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1 </w:t>
      </w:r>
      <w:r w:rsidR="00A31DC5"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Điều này, bao gồm:</w:t>
      </w: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  <w:bookmarkStart w:id="2" w:name="_heading=h.gtlf8nmvhzkg" w:colFirst="0" w:colLast="0"/>
      <w:bookmarkEnd w:id="2"/>
    </w:p>
    <w:p w:rsidR="00A31DC5" w:rsidRPr="00055EEC" w:rsidRDefault="00A31DC5" w:rsidP="003F3464">
      <w:pPr>
        <w:spacing w:before="240" w:after="0" w:line="25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</w:pP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  <w:t>a) Giấy chứng nhận quyền sở hữu đối với tài sản bảo đảm và các tài sản khác (nếu có);</w:t>
      </w:r>
    </w:p>
    <w:p w:rsidR="00A31DC5" w:rsidRPr="003F3464" w:rsidRDefault="00A31DC5" w:rsidP="003F3464">
      <w:pPr>
        <w:spacing w:before="240" w:after="0" w:line="25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pacing w:val="4"/>
          <w:sz w:val="28"/>
          <w:szCs w:val="28"/>
          <w:lang w:val="en"/>
        </w:rPr>
      </w:pPr>
      <w:r w:rsidRPr="003F3464">
        <w:rPr>
          <w:rFonts w:ascii="Times New Roman" w:eastAsia="Times New Roman" w:hAnsi="Times New Roman" w:cs="Times New Roman"/>
          <w:bCs/>
          <w:iCs/>
          <w:color w:val="000000" w:themeColor="text1"/>
          <w:spacing w:val="4"/>
          <w:sz w:val="28"/>
          <w:szCs w:val="28"/>
          <w:lang w:val="en"/>
        </w:rPr>
        <w:t xml:space="preserve">b) Sao kê tài khoản ngân hàng ghi nhận thu nhập hàng tháng của </w:t>
      </w:r>
      <w:r w:rsidR="007120A7" w:rsidRPr="003F3464">
        <w:rPr>
          <w:rFonts w:ascii="Times New Roman" w:eastAsia="Times New Roman" w:hAnsi="Times New Roman" w:cs="Times New Roman"/>
          <w:bCs/>
          <w:iCs/>
          <w:color w:val="000000" w:themeColor="text1"/>
          <w:spacing w:val="4"/>
          <w:sz w:val="28"/>
          <w:szCs w:val="28"/>
          <w:lang w:val="en"/>
        </w:rPr>
        <w:t>bên bảo đảm</w:t>
      </w:r>
      <w:r w:rsidRPr="003F3464">
        <w:rPr>
          <w:rFonts w:ascii="Times New Roman" w:eastAsia="Times New Roman" w:hAnsi="Times New Roman" w:cs="Times New Roman"/>
          <w:bCs/>
          <w:iCs/>
          <w:color w:val="000000" w:themeColor="text1"/>
          <w:spacing w:val="4"/>
          <w:sz w:val="28"/>
          <w:szCs w:val="28"/>
          <w:lang w:val="en"/>
        </w:rPr>
        <w:t>;</w:t>
      </w:r>
    </w:p>
    <w:p w:rsidR="00A31DC5" w:rsidRPr="00055EEC" w:rsidRDefault="00A31DC5" w:rsidP="003F3464">
      <w:pPr>
        <w:spacing w:before="240" w:after="0" w:line="25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</w:pP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  <w:t>c) Tài liệu chứng minh việc thực hiện ngh</w:t>
      </w:r>
      <w:r w:rsidR="00EA6B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  <w:t xml:space="preserve">ĩa vụ thuế thu nhập cá nhân của </w:t>
      </w:r>
      <w:r w:rsidRPr="00EA6B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  <w:t>bên bảo đảm;</w:t>
      </w:r>
    </w:p>
    <w:p w:rsidR="00A31DC5" w:rsidRPr="00055EEC" w:rsidRDefault="00A31DC5" w:rsidP="003F3464">
      <w:pPr>
        <w:spacing w:before="240" w:after="0" w:line="25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</w:pP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  <w:t>d) Hóa đơn điện hoặc nước hoặc internet ghi nhận địa chỉ thường trú, tạm trú của bên bảo đảm;</w:t>
      </w:r>
    </w:p>
    <w:p w:rsidR="00A31DC5" w:rsidRPr="00055EEC" w:rsidRDefault="00A31DC5" w:rsidP="003F3464">
      <w:pPr>
        <w:spacing w:before="240" w:after="0" w:line="25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</w:pPr>
      <w:r w:rsidRPr="00055E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"/>
        </w:rPr>
        <w:t>đ) Các tài liệu chứng minh khác.</w:t>
      </w:r>
    </w:p>
    <w:p w:rsidR="00853E79" w:rsidRPr="00D87D7C" w:rsidRDefault="00853E79" w:rsidP="003F3464">
      <w:pPr>
        <w:spacing w:before="240" w:after="0" w:line="25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D87D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  <w:t xml:space="preserve">Điều 6. </w:t>
      </w:r>
      <w:r w:rsidR="00C155F5" w:rsidRPr="00EA6B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  <w:t>Quyền và</w:t>
      </w:r>
      <w:r w:rsidR="00C155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  <w:t xml:space="preserve"> </w:t>
      </w:r>
      <w:r w:rsidR="00C155F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"/>
        </w:rPr>
        <w:t>t</w:t>
      </w:r>
      <w:r w:rsidRPr="00055EE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"/>
        </w:rPr>
        <w:t>rách nhiệm của t</w:t>
      </w:r>
      <w:r w:rsidRPr="00055EE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>ổ chức tín dụng, chi nhánh ngân hàng nước ngoài, tổ chức mua bán, xử lý nợ</w:t>
      </w:r>
    </w:p>
    <w:p w:rsidR="00853E79" w:rsidRPr="00055EEC" w:rsidRDefault="00853E79" w:rsidP="003F3464">
      <w:pPr>
        <w:spacing w:before="240" w:after="0" w:line="25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</w:pP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1. </w:t>
      </w:r>
      <w:r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  <w:t>Cung cấp đầy đủ thông tin cho bên bảo đảm về quyền và trách nhiệm của bên bảo đảm</w:t>
      </w:r>
      <w:r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, quyền và trách nhiệm của bên nhận bảo đảm</w:t>
      </w:r>
      <w:r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 được quy định tại Nghị định này</w:t>
      </w:r>
      <w:r w:rsidR="008A63C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  <w:t>.</w:t>
      </w:r>
    </w:p>
    <w:p w:rsidR="00853E79" w:rsidRPr="00055EEC" w:rsidRDefault="00853E79" w:rsidP="003F3464">
      <w:pPr>
        <w:spacing w:before="240" w:after="0" w:line="25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2. </w:t>
      </w:r>
      <w:r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Trích </w:t>
      </w:r>
      <w:r w:rsidR="00A31DC5"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khoản tiền cho bên bảo đảm theo</w:t>
      </w:r>
      <w:r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quy định tại </w:t>
      </w:r>
      <w:r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khoản 1 </w:t>
      </w:r>
      <w:r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  <w:t>Điều 4 Nghị định này và</w:t>
      </w:r>
      <w:r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được</w:t>
      </w:r>
      <w:r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 </w:t>
      </w:r>
      <w:r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tính</w:t>
      </w:r>
      <w:r w:rsidRPr="008A63C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số tiền này </w:t>
      </w:r>
      <w:r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vào chi phí xử lý tài sản bảo đảm. </w:t>
      </w:r>
    </w:p>
    <w:p w:rsidR="00853E79" w:rsidRPr="00055EEC" w:rsidRDefault="00A31DC5" w:rsidP="003F3464">
      <w:pPr>
        <w:spacing w:before="240" w:after="0" w:line="25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3. </w:t>
      </w:r>
      <w:r w:rsidR="00853E79"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Tiến hành thu giữ tài sản bảo đảm khi đáp ứng điều kiện quy định tại Điều 4 Nghị định này hoặc tiến hành thu giữ tài sản bảo đảm thuộc trường hợp quy định tại khoản 2 Điều 5 Nghị định này khi đáp ứng điều kiện quy định tại khoản 2 Điều 4 Nghị định này. </w:t>
      </w:r>
    </w:p>
    <w:p w:rsidR="00853E79" w:rsidRPr="00055EEC" w:rsidRDefault="00853E79" w:rsidP="003F3464">
      <w:pPr>
        <w:spacing w:before="240" w:after="0" w:line="25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vi-VN"/>
        </w:rPr>
      </w:pPr>
      <w:r w:rsidRPr="003F3464">
        <w:rPr>
          <w:rFonts w:ascii="Times New Roman" w:eastAsia="Times New Roman" w:hAnsi="Times New Roman" w:cs="Times New Roman"/>
          <w:iCs/>
          <w:color w:val="000000" w:themeColor="text1"/>
          <w:spacing w:val="-4"/>
          <w:sz w:val="28"/>
          <w:szCs w:val="28"/>
        </w:rPr>
        <w:t>Việc thu giữ tài sản bảo đảm thực hiện theo quy định tại khoản 3, khoản 4,</w:t>
      </w:r>
      <w:r w:rsidRPr="00055EE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khoản 5, khoản 6, khoản 7 Điều 198a Luật số 32/2024/QH15 được sửa đổi, bổ sung bởi Luật số 96/2025/QH15.</w:t>
      </w:r>
    </w:p>
    <w:p w:rsidR="00853E79" w:rsidRPr="00D87D7C" w:rsidRDefault="00853E79" w:rsidP="003F3464">
      <w:pPr>
        <w:spacing w:before="240" w:after="0" w:line="25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</w:pPr>
      <w:r w:rsidRPr="00055EE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>Điều 7.</w:t>
      </w:r>
      <w:r w:rsidRPr="00D87D7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vi-VN"/>
        </w:rPr>
        <w:t xml:space="preserve"> </w:t>
      </w:r>
      <w:r w:rsidRPr="00D87D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  <w:t>Hiệu lực và trách nhiệm thi hành</w:t>
      </w:r>
    </w:p>
    <w:p w:rsidR="00D07F3C" w:rsidRPr="00050905" w:rsidRDefault="00853E79" w:rsidP="003F3464">
      <w:pPr>
        <w:spacing w:before="240" w:after="0" w:line="25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</w:pPr>
      <w:r w:rsidRPr="00D87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1. Nghị định này có hiệu lực thi hành </w:t>
      </w:r>
      <w:r w:rsidR="00EE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kể </w:t>
      </w:r>
      <w:r w:rsidRPr="00050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từ ngày </w:t>
      </w:r>
      <w:r w:rsidR="00FD3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01</w:t>
      </w:r>
      <w:r w:rsidRPr="00050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 tháng 1</w:t>
      </w:r>
      <w:r w:rsidR="00FD3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>2</w:t>
      </w:r>
      <w:r w:rsidRPr="000509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 năm 2025.</w:t>
      </w:r>
    </w:p>
    <w:p w:rsidR="00853E79" w:rsidRPr="00D87D7C" w:rsidRDefault="00853E79" w:rsidP="003F3464">
      <w:pPr>
        <w:spacing w:before="240" w:after="0" w:line="25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</w:pPr>
      <w:r w:rsidRPr="00D87D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2. Bộ trưởng, Thủ trưởng cơ quan ngang bộ, cơ quan thuộc Chính phủ và </w:t>
      </w:r>
      <w:r w:rsidRPr="003F346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val="en"/>
        </w:rPr>
        <w:t>các cơ quan, tổ chức, cá nhân có liên quan chịu trách</w:t>
      </w:r>
      <w:r w:rsidR="00055EEC" w:rsidRPr="003F346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val="en"/>
        </w:rPr>
        <w:t xml:space="preserve"> nhiệm thi hành Nghị định này.</w:t>
      </w:r>
      <w:r w:rsid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 </w:t>
      </w:r>
    </w:p>
    <w:p w:rsidR="00853E79" w:rsidRPr="00055EEC" w:rsidRDefault="00853E79" w:rsidP="003F3464">
      <w:pPr>
        <w:spacing w:before="240" w:after="0" w:line="25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</w:pPr>
      <w:r w:rsidRPr="00055E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"/>
        </w:rPr>
        <w:lastRenderedPageBreak/>
        <w:t>Điều 8. Điều khoản chuyển tiếp</w:t>
      </w:r>
    </w:p>
    <w:p w:rsidR="00853E79" w:rsidRDefault="00853E79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55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Đối với các hợp đồng bảo đảm hoặc các văn bản thỏa thuận đã ký trước ngày Nghị định này có hiệu lực thi hành, </w:t>
      </w:r>
      <w:r w:rsidR="00643037" w:rsidRPr="00EA6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  <w:t xml:space="preserve">tài sản bảo đảm của khoản nợ xấu được thu giữ khi đáp ứng điều kiện quy định tại </w:t>
      </w:r>
      <w:r w:rsidR="00055EEC" w:rsidRPr="00EA6BC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Nghị định này.</w:t>
      </w:r>
    </w:p>
    <w:p w:rsidR="003F3464" w:rsidRPr="003F3464" w:rsidRDefault="003F3464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18"/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5529"/>
        <w:gridCol w:w="3827"/>
      </w:tblGrid>
      <w:tr w:rsidR="003F3464" w:rsidRPr="00142A5E" w:rsidTr="003F3464">
        <w:trPr>
          <w:trHeight w:val="1666"/>
        </w:trPr>
        <w:tc>
          <w:tcPr>
            <w:tcW w:w="5529" w:type="dxa"/>
          </w:tcPr>
          <w:p w:rsidR="003F3464" w:rsidRDefault="003F3464" w:rsidP="003F3464">
            <w:pPr>
              <w:spacing w:after="0" w:line="240" w:lineRule="auto"/>
              <w:ind w:left="-74" w:right="-104"/>
              <w:rPr>
                <w:rFonts w:ascii="Times New Roman" w:hAnsi="Times New Roman" w:cs="Times New Roman"/>
                <w:color w:val="000000" w:themeColor="text1"/>
              </w:rPr>
            </w:pPr>
            <w:r w:rsidRPr="003F346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  <w:t>Nơi nhận:</w:t>
            </w:r>
            <w:r w:rsidRPr="003F3464">
              <w:rPr>
                <w:rFonts w:ascii="Times New Roman" w:hAnsi="Times New Roman" w:cs="Times New Roman"/>
                <w:b/>
                <w:i/>
                <w:color w:val="000000" w:themeColor="text1"/>
              </w:rPr>
              <w:br/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t>- Ban Bí thư Trung ương Đảng;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>- Thủ tướng, các Phó Thủ tướng Chính phủ;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 xml:space="preserve">- Các </w:t>
            </w:r>
            <w:r w:rsidR="00EE2F5A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t xml:space="preserve">ộ, cơ quan ngang </w:t>
            </w:r>
            <w:r w:rsidR="00EE2F5A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t>ộ, cơ quan thuộc Chính phủ;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 xml:space="preserve">- HĐND, UBND các tỉnh, thành phố trực thuộc </w:t>
            </w:r>
            <w:r w:rsidR="00EE2F5A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t>rung ương;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>- Văn phòng Trung ương và các Ban của Đảng;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>- Văn phòng Tổng Bí thư;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>- Văn phòng Chủ tịch nước;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>- Hội đồng Dân tộc và các Ủy ban của Quốc hội;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>- Văn phòng Quốc hội;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 xml:space="preserve">- </w:t>
            </w:r>
            <w:proofErr w:type="spellStart"/>
            <w:r w:rsidRPr="003F3464">
              <w:rPr>
                <w:rFonts w:ascii="Times New Roman" w:hAnsi="Times New Roman" w:cs="Times New Roman"/>
                <w:color w:val="000000" w:themeColor="text1"/>
              </w:rPr>
              <w:t>Tòa</w:t>
            </w:r>
            <w:proofErr w:type="spellEnd"/>
            <w:r w:rsidRPr="003F3464">
              <w:rPr>
                <w:rFonts w:ascii="Times New Roman" w:hAnsi="Times New Roman" w:cs="Times New Roman"/>
                <w:color w:val="000000" w:themeColor="text1"/>
              </w:rPr>
              <w:t xml:space="preserve"> án nhân dân tối cao;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 xml:space="preserve">- Viện </w:t>
            </w:r>
            <w:r w:rsidR="00EE2F5A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t>iểm sát nhân dân tối cao;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 xml:space="preserve">- Kiểm toán </w:t>
            </w:r>
            <w:r w:rsidR="00EE2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t>hà nước;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>- Ủy ban Trung ương Mặt trận Tổ quốc Việt Nam;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 xml:space="preserve">- Cơ quan </w:t>
            </w:r>
            <w:r w:rsidR="00EE2F5A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t xml:space="preserve">rung ương của các </w:t>
            </w:r>
            <w:r w:rsidR="00EE2F5A">
              <w:rPr>
                <w:rFonts w:ascii="Times New Roman" w:hAnsi="Times New Roman" w:cs="Times New Roman"/>
                <w:color w:val="000000" w:themeColor="text1"/>
              </w:rPr>
              <w:t>tổ chức chính trị - xã hội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 xml:space="preserve">- Các Tập đoàn kinh tế và </w:t>
            </w:r>
            <w:r w:rsidR="00EE2F5A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t xml:space="preserve">ổng công ty </w:t>
            </w:r>
            <w:r w:rsidR="00EE2F5A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t>hà nước;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>- Ban Chỉ đạo Đổi mới và Phát triển doanh nghiệp;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 xml:space="preserve">- VPCP: BTCN, các PCN, Trợ lý </w:t>
            </w:r>
            <w:proofErr w:type="spellStart"/>
            <w:r w:rsidRPr="003F3464">
              <w:rPr>
                <w:rFonts w:ascii="Times New Roman" w:hAnsi="Times New Roman" w:cs="Times New Roman"/>
                <w:color w:val="000000" w:themeColor="text1"/>
              </w:rPr>
              <w:t>TTg</w:t>
            </w:r>
            <w:proofErr w:type="spellEnd"/>
            <w:r w:rsidRPr="003F3464">
              <w:rPr>
                <w:rFonts w:ascii="Times New Roman" w:hAnsi="Times New Roman" w:cs="Times New Roman"/>
                <w:color w:val="000000" w:themeColor="text1"/>
              </w:rPr>
              <w:t xml:space="preserve">, TGĐ Cổng TTĐT, </w:t>
            </w:r>
          </w:p>
          <w:p w:rsidR="003F3464" w:rsidRPr="003F3464" w:rsidRDefault="003F3464" w:rsidP="003F3464">
            <w:pPr>
              <w:spacing w:after="0" w:line="240" w:lineRule="auto"/>
              <w:ind w:left="-74"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8"/>
              </w:rPr>
              <w:t xml:space="preserve">  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t>các Vụ, Cục, đơn vị trực thuộc</w:t>
            </w:r>
            <w:r w:rsidR="00EE2F5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t xml:space="preserve"> Công báo; 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br/>
              <w:t>- Lưu: VT, KTTH (</w:t>
            </w:r>
            <w:r w:rsidR="00EE2F5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3F3464">
              <w:rPr>
                <w:rFonts w:ascii="Times New Roman" w:hAnsi="Times New Roman" w:cs="Times New Roman"/>
                <w:color w:val="000000" w:themeColor="text1"/>
              </w:rPr>
              <w:t>b).</w:t>
            </w:r>
          </w:p>
        </w:tc>
        <w:tc>
          <w:tcPr>
            <w:tcW w:w="3827" w:type="dxa"/>
          </w:tcPr>
          <w:p w:rsidR="003F3464" w:rsidRDefault="003F3464" w:rsidP="00B566B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6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8"/>
              </w:rPr>
              <w:t>TM. CHÍNH PHỦ</w:t>
            </w:r>
          </w:p>
          <w:p w:rsidR="003F3464" w:rsidRDefault="005A15D8" w:rsidP="00B566B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6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8"/>
              </w:rPr>
              <w:t xml:space="preserve">KT. </w:t>
            </w:r>
            <w:r w:rsidR="003F3464">
              <w:rPr>
                <w:rFonts w:ascii="Times New Roman" w:hAnsi="Times New Roman" w:cs="Times New Roman"/>
                <w:b/>
                <w:spacing w:val="-6"/>
                <w:sz w:val="28"/>
              </w:rPr>
              <w:t>THỦ TƯỚNG</w:t>
            </w:r>
          </w:p>
          <w:p w:rsidR="005A15D8" w:rsidRDefault="005A15D8" w:rsidP="00B566B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6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8"/>
              </w:rPr>
              <w:t>PHÓ THỦ TƯỚNG</w:t>
            </w:r>
          </w:p>
          <w:p w:rsidR="005A15D8" w:rsidRPr="005E1BB3" w:rsidRDefault="005A15D8" w:rsidP="00B566B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6"/>
                <w:sz w:val="28"/>
              </w:rPr>
            </w:pPr>
          </w:p>
          <w:p w:rsidR="003F3464" w:rsidRPr="001A3021" w:rsidRDefault="003F3464" w:rsidP="00B5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18"/>
                <w:szCs w:val="26"/>
              </w:rPr>
            </w:pPr>
          </w:p>
          <w:p w:rsidR="003F3464" w:rsidRPr="001A3021" w:rsidRDefault="003F3464" w:rsidP="00B5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color w:val="FFFFFF" w:themeColor="background1"/>
                <w:sz w:val="24"/>
                <w:szCs w:val="26"/>
              </w:rPr>
            </w:pPr>
            <w:r w:rsidRPr="001A3021">
              <w:rPr>
                <w:b/>
                <w:sz w:val="24"/>
                <w:szCs w:val="26"/>
              </w:rPr>
              <w:t xml:space="preserve"> </w:t>
            </w:r>
            <w:r w:rsidRPr="001A3021">
              <w:rPr>
                <w:b/>
                <w:color w:val="FFFFFF" w:themeColor="background1"/>
                <w:sz w:val="96"/>
                <w:szCs w:val="26"/>
              </w:rPr>
              <w:t>[</w:t>
            </w:r>
            <w:proofErr w:type="spellStart"/>
            <w:r w:rsidRPr="001A3021">
              <w:rPr>
                <w:b/>
                <w:color w:val="FFFFFF" w:themeColor="background1"/>
                <w:sz w:val="96"/>
                <w:szCs w:val="26"/>
              </w:rPr>
              <w:t>daky</w:t>
            </w:r>
            <w:proofErr w:type="spellEnd"/>
            <w:r w:rsidRPr="001A3021">
              <w:rPr>
                <w:b/>
                <w:color w:val="FFFFFF" w:themeColor="background1"/>
                <w:sz w:val="96"/>
                <w:szCs w:val="26"/>
              </w:rPr>
              <w:t>]</w:t>
            </w:r>
          </w:p>
          <w:p w:rsidR="003F3464" w:rsidRPr="001A3021" w:rsidRDefault="003F3464" w:rsidP="00B5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bCs/>
                <w:sz w:val="18"/>
                <w:szCs w:val="26"/>
              </w:rPr>
            </w:pPr>
          </w:p>
          <w:p w:rsidR="003F3464" w:rsidRPr="00142A5E" w:rsidRDefault="005A15D8" w:rsidP="00B566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Hồ Đức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Phớc</w:t>
            </w:r>
            <w:proofErr w:type="spellEnd"/>
          </w:p>
        </w:tc>
      </w:tr>
    </w:tbl>
    <w:p w:rsidR="003F3464" w:rsidRDefault="003F3464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</w:pPr>
    </w:p>
    <w:p w:rsidR="003F3464" w:rsidRPr="00055EEC" w:rsidRDefault="003F3464" w:rsidP="003F3464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/>
        </w:rPr>
      </w:pPr>
    </w:p>
    <w:p w:rsidR="00853E79" w:rsidRPr="00D87D7C" w:rsidRDefault="00853E79" w:rsidP="003A316C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853E79" w:rsidRPr="00D87D7C" w:rsidRDefault="00853E79" w:rsidP="00853E79">
      <w:pPr>
        <w:rPr>
          <w:color w:val="000000" w:themeColor="text1"/>
        </w:rPr>
      </w:pPr>
    </w:p>
    <w:p w:rsidR="004F1C3E" w:rsidRPr="00D87D7C" w:rsidRDefault="004F1C3E" w:rsidP="00853E79">
      <w:pPr>
        <w:rPr>
          <w:color w:val="000000" w:themeColor="text1"/>
        </w:rPr>
      </w:pPr>
    </w:p>
    <w:sectPr w:rsidR="004F1C3E" w:rsidRPr="00D87D7C" w:rsidSect="003F3464">
      <w:headerReference w:type="default" r:id="rId7"/>
      <w:footerReference w:type="default" r:id="rId8"/>
      <w:pgSz w:w="11906" w:h="16838" w:code="9"/>
      <w:pgMar w:top="1418" w:right="1134" w:bottom="1134" w:left="1985" w:header="567" w:footer="1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B5F" w:rsidRDefault="00501B5F">
      <w:pPr>
        <w:spacing w:after="0" w:line="240" w:lineRule="auto"/>
      </w:pPr>
      <w:r>
        <w:separator/>
      </w:r>
    </w:p>
  </w:endnote>
  <w:endnote w:type="continuationSeparator" w:id="0">
    <w:p w:rsidR="00501B5F" w:rsidRDefault="0050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B7C" w:rsidRDefault="00501B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:rsidR="00B30B7C" w:rsidRDefault="00501B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B5F" w:rsidRDefault="00501B5F">
      <w:pPr>
        <w:spacing w:after="0" w:line="240" w:lineRule="auto"/>
      </w:pPr>
      <w:r>
        <w:separator/>
      </w:r>
    </w:p>
  </w:footnote>
  <w:footnote w:type="continuationSeparator" w:id="0">
    <w:p w:rsidR="00501B5F" w:rsidRDefault="0050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B7C" w:rsidRPr="003F3464" w:rsidRDefault="00A31DC5" w:rsidP="008601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3F3464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3F3464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3F3464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C7327A" w:rsidRPr="003F3464">
      <w:rPr>
        <w:rFonts w:ascii="Times New Roman" w:hAnsi="Times New Roman" w:cs="Times New Roman"/>
        <w:noProof/>
        <w:color w:val="000000"/>
        <w:sz w:val="28"/>
        <w:szCs w:val="28"/>
      </w:rPr>
      <w:t>4</w:t>
    </w:r>
    <w:r w:rsidRPr="003F3464">
      <w:rPr>
        <w:rFonts w:ascii="Times New Roman" w:hAnsi="Times New Roman" w:cs="Times New Roman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E79"/>
    <w:rsid w:val="00000D66"/>
    <w:rsid w:val="000201D6"/>
    <w:rsid w:val="00050905"/>
    <w:rsid w:val="00055EEC"/>
    <w:rsid w:val="000B51F8"/>
    <w:rsid w:val="000B57D5"/>
    <w:rsid w:val="000F71DC"/>
    <w:rsid w:val="00102C37"/>
    <w:rsid w:val="00177455"/>
    <w:rsid w:val="001B223C"/>
    <w:rsid w:val="002370ED"/>
    <w:rsid w:val="002A550B"/>
    <w:rsid w:val="002B020D"/>
    <w:rsid w:val="002D2B27"/>
    <w:rsid w:val="003509F9"/>
    <w:rsid w:val="00372911"/>
    <w:rsid w:val="003A316C"/>
    <w:rsid w:val="003F24E9"/>
    <w:rsid w:val="003F3464"/>
    <w:rsid w:val="004210E3"/>
    <w:rsid w:val="00445213"/>
    <w:rsid w:val="00447C73"/>
    <w:rsid w:val="004E4958"/>
    <w:rsid w:val="004F1C3E"/>
    <w:rsid w:val="00501B5F"/>
    <w:rsid w:val="00550308"/>
    <w:rsid w:val="005727C0"/>
    <w:rsid w:val="005A15D8"/>
    <w:rsid w:val="005A7AA6"/>
    <w:rsid w:val="005F3AD9"/>
    <w:rsid w:val="006076F1"/>
    <w:rsid w:val="0064204A"/>
    <w:rsid w:val="00643037"/>
    <w:rsid w:val="00690E58"/>
    <w:rsid w:val="007120A7"/>
    <w:rsid w:val="0074699B"/>
    <w:rsid w:val="00747C4C"/>
    <w:rsid w:val="007D3D37"/>
    <w:rsid w:val="00800BA6"/>
    <w:rsid w:val="00827B6E"/>
    <w:rsid w:val="008435FD"/>
    <w:rsid w:val="0084388D"/>
    <w:rsid w:val="00853E79"/>
    <w:rsid w:val="00860135"/>
    <w:rsid w:val="0087253E"/>
    <w:rsid w:val="00885499"/>
    <w:rsid w:val="008A63C1"/>
    <w:rsid w:val="008C26AF"/>
    <w:rsid w:val="00930B51"/>
    <w:rsid w:val="009500D7"/>
    <w:rsid w:val="009702DE"/>
    <w:rsid w:val="009739CD"/>
    <w:rsid w:val="009A2BCB"/>
    <w:rsid w:val="00A31DC5"/>
    <w:rsid w:val="00A77E19"/>
    <w:rsid w:val="00AA2868"/>
    <w:rsid w:val="00B165D1"/>
    <w:rsid w:val="00B30529"/>
    <w:rsid w:val="00B56913"/>
    <w:rsid w:val="00B8478B"/>
    <w:rsid w:val="00BD4090"/>
    <w:rsid w:val="00BE7071"/>
    <w:rsid w:val="00C155F5"/>
    <w:rsid w:val="00C52A24"/>
    <w:rsid w:val="00C7327A"/>
    <w:rsid w:val="00C81F77"/>
    <w:rsid w:val="00C85D8A"/>
    <w:rsid w:val="00CF0B34"/>
    <w:rsid w:val="00CF4026"/>
    <w:rsid w:val="00D07F3C"/>
    <w:rsid w:val="00D20696"/>
    <w:rsid w:val="00D40E6D"/>
    <w:rsid w:val="00D8561C"/>
    <w:rsid w:val="00D87D7C"/>
    <w:rsid w:val="00DB4BE3"/>
    <w:rsid w:val="00DE2DFB"/>
    <w:rsid w:val="00E022EF"/>
    <w:rsid w:val="00E12383"/>
    <w:rsid w:val="00EA27B3"/>
    <w:rsid w:val="00EA6BC0"/>
    <w:rsid w:val="00EB760F"/>
    <w:rsid w:val="00ED3931"/>
    <w:rsid w:val="00ED7E1E"/>
    <w:rsid w:val="00EE2F5A"/>
    <w:rsid w:val="00F0609F"/>
    <w:rsid w:val="00F133CD"/>
    <w:rsid w:val="00F52F1C"/>
    <w:rsid w:val="00FA4769"/>
    <w:rsid w:val="00FB5E69"/>
    <w:rsid w:val="00F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9CCC6"/>
  <w15:chartTrackingRefBased/>
  <w15:docId w15:val="{6E7AE49C-BB53-4E8B-89D7-6FDD2D6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853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853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E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2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B27"/>
  </w:style>
  <w:style w:type="paragraph" w:styleId="Footer">
    <w:name w:val="footer"/>
    <w:basedOn w:val="Normal"/>
    <w:link w:val="FooterChar"/>
    <w:uiPriority w:val="99"/>
    <w:unhideWhenUsed/>
    <w:rsid w:val="002D2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D3172F-AA7A-4E99-B6DD-11BF4DB74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3AC795-9105-4D25-A622-4522EA3D8AD9}"/>
</file>

<file path=customXml/itemProps3.xml><?xml version="1.0" encoding="utf-8"?>
<ds:datastoreItem xmlns:ds="http://schemas.openxmlformats.org/officeDocument/2006/customXml" ds:itemID="{592B9758-66A8-4AE5-8FB1-E0DEF5FB9082}"/>
</file>

<file path=customXml/itemProps4.xml><?xml version="1.0" encoding="utf-8"?>
<ds:datastoreItem xmlns:ds="http://schemas.openxmlformats.org/officeDocument/2006/customXml" ds:itemID="{EE688297-C061-41DA-B76B-4195CBAB0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 Lan Anh (PC)</dc:creator>
  <cp:keywords/>
  <dc:description/>
  <cp:lastModifiedBy>User1</cp:lastModifiedBy>
  <cp:revision>3</cp:revision>
  <cp:lastPrinted>2025-11-20T03:57:00Z</cp:lastPrinted>
  <dcterms:created xsi:type="dcterms:W3CDTF">2025-11-20T03:59:00Z</dcterms:created>
  <dcterms:modified xsi:type="dcterms:W3CDTF">2025-11-25T03:01:00Z</dcterms:modified>
</cp:coreProperties>
</file>